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F6" w:rsidRDefault="007E26F6" w:rsidP="00023780">
      <w:pPr>
        <w:spacing w:beforeLines="50" w:after="0" w:line="360" w:lineRule="auto"/>
        <w:jc w:val="both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7E26F6" w:rsidRDefault="007E26F6" w:rsidP="007E26F6">
      <w:pPr>
        <w:spacing w:after="0" w:line="348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全国大学生油气储运工程设计大赛章程</w:t>
      </w:r>
    </w:p>
    <w:p w:rsidR="007E26F6" w:rsidRDefault="007E26F6" w:rsidP="007E26F6">
      <w:pPr>
        <w:spacing w:after="0" w:line="348" w:lineRule="auto"/>
        <w:ind w:firstLine="301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7E26F6" w:rsidRDefault="007E26F6" w:rsidP="007E26F6">
      <w:pPr>
        <w:spacing w:after="0" w:line="348" w:lineRule="auto"/>
        <w:ind w:firstLine="301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第一章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总则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第一条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全国大学生油气储运工程设计大赛（以下简称“储运设计大赛”）是由中国石油学会主办、中国石油大学（华东）承办的面向全国大学生的专业学科性大赛。目的在于激励学生学习积极性，提高大学生运用油气储运工程专业知识解决实际问题的综合能力，鼓励广大学生踊跃参加课外科技活动，开拓知识面，培养创造精神及合作意识，推动大学油气储运教学体系、教学内容和教学方法的改革。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第二条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储运设计大赛每年举办一次，大赛时间为</w:t>
      </w:r>
      <w:r>
        <w:rPr>
          <w:rFonts w:ascii="仿宋_GB2312" w:eastAsia="仿宋_GB2312" w:cs="仿宋_GB2312"/>
          <w:sz w:val="28"/>
          <w:szCs w:val="28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>月份。</w:t>
      </w:r>
    </w:p>
    <w:p w:rsidR="007E26F6" w:rsidRDefault="007E26F6" w:rsidP="007E26F6">
      <w:pPr>
        <w:spacing w:after="0" w:line="348" w:lineRule="auto"/>
        <w:ind w:firstLine="301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7E26F6" w:rsidRDefault="007E26F6" w:rsidP="007E26F6">
      <w:pPr>
        <w:spacing w:after="0" w:line="348" w:lineRule="auto"/>
        <w:ind w:firstLine="301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第二章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组织机构及其职责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第三条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储运设计大赛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设大赛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>委员会，大赛委员会下设专家委员会和组织委员会。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第四条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大赛委员会由中国石油学会储运专业委员会、部分高校有关负责人与专家教授组成。设主任委员一名、副主任委员若干名、秘书长一名、委员若干名，聘期三年。秘书处设在中国石油大学（华东）。根据工作需要，大赛委员会可聘请顾问若干名。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第五条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大赛委员会工作职责：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、制订、审议、修改大赛章程和评审规则；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、聘任专家委员会成员；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、确定获奖比例；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、负责涉及大赛活动的其他重大问题。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第六条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专家委员会成员由大赛委员会聘请。设主任委员一名，副主任委员若干名，委员若干名，秘书长一名。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第七条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专家委员会工作职责：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、根据评审规则制定大赛的评审实施细则；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、对参赛作品进行评审，并确定获奖作品等级；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、负责处理大赛过程中的有关专业技术问题。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第八条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组织委员会由承办单位有关人员组成。设主任委员一名，副主任委员若干名，委员若干名，并根据工作需要下设若干工作组。具体组织形式由承办单位自定。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第九条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组织委员会工作职责：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、根据大赛委员会的决定，实施大赛的组织筹备工作；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、负责具体组织实施大赛的全过程；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、负责大赛所需的经费。经费的筹集、管理和使用必须符合国家相关的法律、法规及学校的相关财务制度。</w:t>
      </w:r>
    </w:p>
    <w:p w:rsidR="007E26F6" w:rsidRDefault="007E26F6" w:rsidP="007E26F6">
      <w:pPr>
        <w:spacing w:after="0" w:line="348" w:lineRule="auto"/>
        <w:ind w:firstLine="301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7E26F6" w:rsidRDefault="007E26F6" w:rsidP="007E26F6">
      <w:pPr>
        <w:spacing w:after="0" w:line="348" w:lineRule="auto"/>
        <w:ind w:firstLine="301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第三章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参赛资格和作品申报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第十条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参赛学校为普通高等院校。参赛队员应为在大赛报名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起始日前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>正式注册的全日制非成人教育的高等院校在校中国籍专科生、本科生、研究生（不含在职研究生）。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第十一条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bookmarkStart w:id="0" w:name="OLE_LINK177"/>
      <w:r>
        <w:rPr>
          <w:rFonts w:ascii="仿宋_GB2312" w:eastAsia="仿宋_GB2312" w:cs="仿宋_GB2312" w:hint="eastAsia"/>
          <w:sz w:val="28"/>
          <w:szCs w:val="28"/>
        </w:rPr>
        <w:t>申报参赛的作品</w:t>
      </w:r>
      <w:r w:rsidRPr="00565550">
        <w:rPr>
          <w:rFonts w:ascii="仿宋_GB2312" w:eastAsia="仿宋_GB2312" w:cs="仿宋_GB2312" w:hint="eastAsia"/>
          <w:sz w:val="28"/>
          <w:szCs w:val="28"/>
        </w:rPr>
        <w:t>须</w:t>
      </w:r>
      <w:bookmarkStart w:id="1" w:name="_GoBack"/>
      <w:bookmarkEnd w:id="1"/>
      <w:r>
        <w:rPr>
          <w:rFonts w:ascii="仿宋_GB2312" w:eastAsia="仿宋_GB2312" w:cs="仿宋_GB2312" w:hint="eastAsia"/>
          <w:sz w:val="28"/>
          <w:szCs w:val="28"/>
        </w:rPr>
        <w:t>以小组申报</w:t>
      </w:r>
      <w:bookmarkEnd w:id="0"/>
      <w:r>
        <w:rPr>
          <w:rFonts w:ascii="仿宋_GB2312" w:eastAsia="仿宋_GB2312" w:cs="仿宋_GB2312" w:hint="eastAsia"/>
          <w:sz w:val="28"/>
          <w:szCs w:val="28"/>
        </w:rPr>
        <w:t>，每个小组成员不超过四人，指导教师一人。</w:t>
      </w:r>
    </w:p>
    <w:p w:rsidR="007E26F6" w:rsidRDefault="007E26F6" w:rsidP="007E26F6">
      <w:pPr>
        <w:spacing w:after="0" w:line="348" w:lineRule="auto"/>
        <w:ind w:firstLine="301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7E26F6" w:rsidRDefault="007E26F6" w:rsidP="007E26F6">
      <w:pPr>
        <w:spacing w:after="0" w:line="348" w:lineRule="auto"/>
        <w:ind w:firstLine="301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第四章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作品展示、出版和学术交流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第十二条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参赛作品在现场展览或演示，供专家委员会评审和其它人员观摩。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第十三条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组织委员会在大赛期间，可以组织多种形式的学术交流活动，如：报告会、论坛、讲座、专家点评、夏令营等，加强对油气储运专业的宣传。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第十四条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大赛委员会拥有参赛作品实物模型、结集出版大赛获奖作品介绍及评委评语的使用权。参赛作品可由作者自行取回，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>取回者不退还。</w:t>
      </w:r>
    </w:p>
    <w:p w:rsidR="007E26F6" w:rsidRDefault="007E26F6" w:rsidP="007E26F6">
      <w:pPr>
        <w:spacing w:after="0" w:line="348" w:lineRule="auto"/>
        <w:ind w:firstLine="301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7E26F6" w:rsidRDefault="007E26F6" w:rsidP="007E26F6">
      <w:pPr>
        <w:spacing w:after="0" w:line="348" w:lineRule="auto"/>
        <w:ind w:firstLine="301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第五章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奖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proofErr w:type="gramStart"/>
      <w:r>
        <w:rPr>
          <w:rFonts w:ascii="仿宋_GB2312" w:eastAsia="仿宋_GB2312" w:cs="仿宋_GB2312" w:hint="eastAsia"/>
          <w:b/>
          <w:bCs/>
          <w:sz w:val="28"/>
          <w:szCs w:val="28"/>
        </w:rPr>
        <w:t>励</w:t>
      </w:r>
      <w:proofErr w:type="gramEnd"/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第十五条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储运设计大赛设立等级奖、优秀指导教师奖和优秀组织奖三类奖项。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第十六条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等级奖设特等奖（可空缺）、一等奖、二等奖、三等奖和优秀奖。获奖比例由大赛委员会根据参赛规模的实际情况确定。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第十七条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优秀组织奖，由大赛委员会对大赛组织中表现突出的单位进行表彰。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第十八条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对参赛获奖的学生和单位，给予不同形式奖励。</w:t>
      </w:r>
    </w:p>
    <w:p w:rsidR="007E26F6" w:rsidRDefault="007E26F6" w:rsidP="007E26F6">
      <w:pPr>
        <w:spacing w:after="0" w:line="348" w:lineRule="auto"/>
        <w:ind w:firstLine="301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7E26F6" w:rsidRDefault="007E26F6" w:rsidP="007E26F6">
      <w:pPr>
        <w:spacing w:after="0" w:line="348" w:lineRule="auto"/>
        <w:ind w:firstLine="301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第六章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附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则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第十九条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通过预审的作品，设置五天公示期。若收到投诉或异议，由大赛委员会秘书处组织调查，并上报大赛委员会讨论。经调查确认有违规行为的，一经发现，立即取消该作品参赛资格，并予以通报。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第二十条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大赛承办单位可以储运设计大赛委员会的名义寻求赞助和冠名，经主办单位审核通过后，方可实施。</w:t>
      </w:r>
    </w:p>
    <w:p w:rsidR="007E26F6" w:rsidRDefault="007E26F6" w:rsidP="007E26F6">
      <w:pPr>
        <w:widowControl w:val="0"/>
        <w:spacing w:after="0" w:line="348" w:lineRule="auto"/>
        <w:ind w:firstLine="482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第二十一条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本章程未尽事宜，由储运设计大赛委员会负责解释。</w:t>
      </w:r>
    </w:p>
    <w:p w:rsidR="009769ED" w:rsidRPr="007E26F6" w:rsidRDefault="007E26F6" w:rsidP="007E26F6">
      <w:pPr>
        <w:widowControl w:val="0"/>
        <w:spacing w:after="0" w:line="348" w:lineRule="auto"/>
        <w:ind w:firstLine="482"/>
        <w:jc w:val="both"/>
      </w:pPr>
      <w:r>
        <w:rPr>
          <w:rFonts w:ascii="仿宋_GB2312" w:eastAsia="仿宋_GB2312" w:cs="仿宋_GB2312" w:hint="eastAsia"/>
          <w:sz w:val="28"/>
          <w:szCs w:val="28"/>
        </w:rPr>
        <w:t>第二十二条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本章程自储运设计大赛委员会审议通过之日起生效，</w:t>
      </w:r>
      <w:bookmarkStart w:id="2" w:name="OLE_LINK178"/>
      <w:r>
        <w:rPr>
          <w:rFonts w:ascii="仿宋_GB2312" w:eastAsia="仿宋_GB2312" w:cs="仿宋_GB2312" w:hint="eastAsia"/>
          <w:sz w:val="28"/>
          <w:szCs w:val="28"/>
        </w:rPr>
        <w:t>解释权归大赛委员会</w:t>
      </w:r>
      <w:bookmarkEnd w:id="2"/>
      <w:r w:rsidR="000C601E">
        <w:rPr>
          <w:rFonts w:ascii="仿宋_GB2312" w:eastAsia="仿宋_GB2312" w:cs="仿宋_GB2312" w:hint="eastAsia"/>
          <w:sz w:val="28"/>
          <w:szCs w:val="28"/>
        </w:rPr>
        <w:t>。</w:t>
      </w:r>
    </w:p>
    <w:sectPr w:rsidR="009769ED" w:rsidRPr="007E26F6" w:rsidSect="007E26F6">
      <w:footerReference w:type="default" r:id="rId6"/>
      <w:pgSz w:w="11907" w:h="16839"/>
      <w:pgMar w:top="1701" w:right="1134" w:bottom="1418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80" w:rsidRDefault="00023780" w:rsidP="00023780">
      <w:pPr>
        <w:spacing w:after="0"/>
      </w:pPr>
      <w:r>
        <w:separator/>
      </w:r>
    </w:p>
  </w:endnote>
  <w:endnote w:type="continuationSeparator" w:id="0">
    <w:p w:rsidR="00023780" w:rsidRDefault="00023780" w:rsidP="000237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935318"/>
      <w:docPartObj>
        <w:docPartGallery w:val="Page Numbers (Bottom of Page)"/>
        <w:docPartUnique/>
      </w:docPartObj>
    </w:sdtPr>
    <w:sdtContent>
      <w:p w:rsidR="00F4022A" w:rsidRDefault="00023780">
        <w:pPr>
          <w:pStyle w:val="a6"/>
          <w:jc w:val="center"/>
        </w:pPr>
        <w:r w:rsidRPr="00F4022A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7E26F6" w:rsidRPr="00F4022A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4022A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0C601E" w:rsidRPr="000C601E">
          <w:rPr>
            <w:rFonts w:ascii="Times New Roman" w:hAnsi="Times New Roman" w:cs="Times New Roman"/>
            <w:noProof/>
            <w:sz w:val="21"/>
            <w:szCs w:val="21"/>
            <w:lang w:val="zh-CN"/>
          </w:rPr>
          <w:t>3</w:t>
        </w:r>
        <w:r w:rsidRPr="00F4022A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F4022A" w:rsidRDefault="000C60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80" w:rsidRDefault="00023780" w:rsidP="00023780">
      <w:pPr>
        <w:spacing w:after="0"/>
      </w:pPr>
      <w:r>
        <w:separator/>
      </w:r>
    </w:p>
  </w:footnote>
  <w:footnote w:type="continuationSeparator" w:id="0">
    <w:p w:rsidR="00023780" w:rsidRDefault="00023780" w:rsidP="000237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4BC"/>
    <w:rsid w:val="00023780"/>
    <w:rsid w:val="000634BC"/>
    <w:rsid w:val="000C601E"/>
    <w:rsid w:val="007E26F6"/>
    <w:rsid w:val="0097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Variable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BC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paragraph" w:styleId="1">
    <w:name w:val="heading 1"/>
    <w:basedOn w:val="a"/>
    <w:next w:val="a"/>
    <w:link w:val="1Char"/>
    <w:uiPriority w:val="99"/>
    <w:qFormat/>
    <w:rsid w:val="000634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0634BC"/>
    <w:pPr>
      <w:adjustRightInd/>
      <w:snapToGrid/>
      <w:spacing w:before="100" w:beforeAutospacing="1" w:after="100" w:afterAutospacing="1"/>
      <w:outlineLvl w:val="2"/>
    </w:pPr>
    <w:rPr>
      <w:rFonts w:ascii="宋体" w:eastAsia="宋体" w:hAnsi="Times New Roman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634BC"/>
    <w:rPr>
      <w:rFonts w:ascii="Tahoma" w:eastAsia="微软雅黑" w:hAnsi="Tahoma" w:cs="Tahoma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0634BC"/>
    <w:rPr>
      <w:rFonts w:ascii="宋体" w:eastAsia="宋体" w:hAnsi="Times New Roman" w:cs="宋体"/>
      <w:b/>
      <w:bCs/>
      <w:kern w:val="0"/>
      <w:sz w:val="27"/>
      <w:szCs w:val="27"/>
    </w:rPr>
  </w:style>
  <w:style w:type="paragraph" w:styleId="a3">
    <w:name w:val="Document Map"/>
    <w:basedOn w:val="a"/>
    <w:link w:val="Char"/>
    <w:uiPriority w:val="99"/>
    <w:semiHidden/>
    <w:qFormat/>
    <w:rsid w:val="000634BC"/>
    <w:pPr>
      <w:shd w:val="clear" w:color="auto" w:fill="000080"/>
    </w:pPr>
  </w:style>
  <w:style w:type="character" w:customStyle="1" w:styleId="Char">
    <w:name w:val="文档结构图 Char"/>
    <w:basedOn w:val="a0"/>
    <w:link w:val="a3"/>
    <w:uiPriority w:val="99"/>
    <w:semiHidden/>
    <w:rsid w:val="000634BC"/>
    <w:rPr>
      <w:rFonts w:ascii="Tahoma" w:eastAsia="微软雅黑" w:hAnsi="Tahoma" w:cs="Tahoma"/>
      <w:kern w:val="0"/>
      <w:sz w:val="22"/>
      <w:shd w:val="clear" w:color="auto" w:fill="000080"/>
    </w:rPr>
  </w:style>
  <w:style w:type="paragraph" w:styleId="a4">
    <w:name w:val="Date"/>
    <w:basedOn w:val="a"/>
    <w:next w:val="a"/>
    <w:link w:val="Char0"/>
    <w:uiPriority w:val="99"/>
    <w:rsid w:val="000634BC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rsid w:val="000634BC"/>
    <w:rPr>
      <w:rFonts w:ascii="Tahoma" w:eastAsia="微软雅黑" w:hAnsi="Tahoma" w:cs="Tahoma"/>
      <w:kern w:val="0"/>
      <w:sz w:val="22"/>
    </w:rPr>
  </w:style>
  <w:style w:type="paragraph" w:styleId="a5">
    <w:name w:val="Balloon Text"/>
    <w:basedOn w:val="a"/>
    <w:link w:val="Char1"/>
    <w:uiPriority w:val="99"/>
    <w:semiHidden/>
    <w:rsid w:val="000634B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0634BC"/>
    <w:rPr>
      <w:rFonts w:ascii="Tahoma" w:eastAsia="微软雅黑" w:hAnsi="Tahoma" w:cs="Tahoma"/>
      <w:kern w:val="0"/>
      <w:sz w:val="18"/>
      <w:szCs w:val="18"/>
    </w:rPr>
  </w:style>
  <w:style w:type="paragraph" w:styleId="a6">
    <w:name w:val="footer"/>
    <w:basedOn w:val="a"/>
    <w:link w:val="Char2"/>
    <w:uiPriority w:val="99"/>
    <w:rsid w:val="000634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634BC"/>
    <w:rPr>
      <w:rFonts w:ascii="Tahoma" w:eastAsia="微软雅黑" w:hAnsi="Tahoma" w:cs="Tahoma"/>
      <w:kern w:val="0"/>
      <w:sz w:val="18"/>
      <w:szCs w:val="18"/>
    </w:rPr>
  </w:style>
  <w:style w:type="paragraph" w:styleId="a7">
    <w:name w:val="header"/>
    <w:basedOn w:val="a"/>
    <w:link w:val="Char3"/>
    <w:uiPriority w:val="99"/>
    <w:rsid w:val="000634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0634BC"/>
    <w:rPr>
      <w:rFonts w:ascii="Tahoma" w:eastAsia="微软雅黑" w:hAnsi="Tahoma" w:cs="Tahoma"/>
      <w:kern w:val="0"/>
      <w:sz w:val="18"/>
      <w:szCs w:val="18"/>
    </w:rPr>
  </w:style>
  <w:style w:type="paragraph" w:styleId="a8">
    <w:name w:val="Normal (Web)"/>
    <w:basedOn w:val="a"/>
    <w:uiPriority w:val="99"/>
    <w:semiHidden/>
    <w:rsid w:val="000634B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99"/>
    <w:qFormat/>
    <w:rsid w:val="000634BC"/>
    <w:rPr>
      <w:b/>
      <w:bCs/>
      <w:color w:val="auto"/>
      <w:u w:val="none"/>
    </w:rPr>
  </w:style>
  <w:style w:type="character" w:styleId="aa">
    <w:name w:val="FollowedHyperlink"/>
    <w:basedOn w:val="a0"/>
    <w:uiPriority w:val="99"/>
    <w:qFormat/>
    <w:rsid w:val="000634BC"/>
    <w:rPr>
      <w:color w:val="auto"/>
      <w:u w:val="none"/>
    </w:rPr>
  </w:style>
  <w:style w:type="character" w:styleId="ab">
    <w:name w:val="Emphasis"/>
    <w:basedOn w:val="a0"/>
    <w:uiPriority w:val="20"/>
    <w:qFormat/>
    <w:rsid w:val="000634BC"/>
  </w:style>
  <w:style w:type="character" w:styleId="HTML">
    <w:name w:val="HTML Definition"/>
    <w:basedOn w:val="a0"/>
    <w:uiPriority w:val="99"/>
    <w:rsid w:val="000634BC"/>
  </w:style>
  <w:style w:type="character" w:styleId="HTML0">
    <w:name w:val="HTML Acronym"/>
    <w:basedOn w:val="a0"/>
    <w:uiPriority w:val="99"/>
    <w:rsid w:val="000634BC"/>
    <w:rPr>
      <w:caps/>
      <w:color w:val="auto"/>
      <w:sz w:val="21"/>
      <w:szCs w:val="21"/>
    </w:rPr>
  </w:style>
  <w:style w:type="character" w:styleId="HTML1">
    <w:name w:val="HTML Variable"/>
    <w:basedOn w:val="a0"/>
    <w:uiPriority w:val="99"/>
    <w:qFormat/>
    <w:rsid w:val="000634BC"/>
  </w:style>
  <w:style w:type="character" w:styleId="ac">
    <w:name w:val="Hyperlink"/>
    <w:basedOn w:val="a0"/>
    <w:uiPriority w:val="99"/>
    <w:rsid w:val="000634BC"/>
    <w:rPr>
      <w:color w:val="auto"/>
      <w:u w:val="none"/>
    </w:rPr>
  </w:style>
  <w:style w:type="character" w:styleId="HTML2">
    <w:name w:val="HTML Code"/>
    <w:basedOn w:val="a0"/>
    <w:uiPriority w:val="99"/>
    <w:rsid w:val="000634BC"/>
    <w:rPr>
      <w:rFonts w:ascii="Consolas" w:hAnsi="Consolas" w:cs="Consolas"/>
      <w:color w:val="auto"/>
      <w:sz w:val="20"/>
      <w:szCs w:val="20"/>
      <w:bdr w:val="single" w:sz="6" w:space="0" w:color="auto"/>
      <w:shd w:val="clear" w:color="auto" w:fill="auto"/>
    </w:rPr>
  </w:style>
  <w:style w:type="character" w:styleId="HTML3">
    <w:name w:val="HTML Cite"/>
    <w:basedOn w:val="a0"/>
    <w:uiPriority w:val="99"/>
    <w:rsid w:val="000634BC"/>
  </w:style>
  <w:style w:type="character" w:styleId="HTML4">
    <w:name w:val="HTML Keyboard"/>
    <w:basedOn w:val="a0"/>
    <w:uiPriority w:val="99"/>
    <w:rsid w:val="000634BC"/>
    <w:rPr>
      <w:rFonts w:ascii="Consolas" w:hAnsi="Consolas" w:cs="Consolas"/>
      <w:color w:val="auto"/>
      <w:sz w:val="20"/>
      <w:szCs w:val="20"/>
      <w:bdr w:val="single" w:sz="6" w:space="0" w:color="auto"/>
      <w:shd w:val="clear" w:color="auto" w:fill="auto"/>
    </w:rPr>
  </w:style>
  <w:style w:type="table" w:styleId="ad">
    <w:name w:val="Table Grid"/>
    <w:basedOn w:val="a1"/>
    <w:uiPriority w:val="99"/>
    <w:rsid w:val="000634B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fix2">
    <w:name w:val="prefix2"/>
    <w:uiPriority w:val="99"/>
    <w:rsid w:val="000634BC"/>
    <w:rPr>
      <w:color w:val="auto"/>
      <w:shd w:val="clear" w:color="auto" w:fill="auto"/>
    </w:rPr>
  </w:style>
  <w:style w:type="character" w:customStyle="1" w:styleId="postfix2">
    <w:name w:val="postfix2"/>
    <w:uiPriority w:val="99"/>
    <w:rsid w:val="000634BC"/>
    <w:rPr>
      <w:color w:val="auto"/>
      <w:shd w:val="clear" w:color="auto" w:fill="auto"/>
    </w:rPr>
  </w:style>
  <w:style w:type="character" w:customStyle="1" w:styleId="error">
    <w:name w:val="error"/>
    <w:uiPriority w:val="99"/>
    <w:qFormat/>
    <w:rsid w:val="000634BC"/>
    <w:rPr>
      <w:i/>
      <w:iCs/>
      <w:color w:val="FFFFFF"/>
      <w:shd w:val="clear" w:color="auto" w:fill="auto"/>
    </w:rPr>
  </w:style>
  <w:style w:type="character" w:customStyle="1" w:styleId="error-message">
    <w:name w:val="error-message"/>
    <w:basedOn w:val="a0"/>
    <w:uiPriority w:val="99"/>
    <w:rsid w:val="000634BC"/>
  </w:style>
  <w:style w:type="character" w:customStyle="1" w:styleId="postfix">
    <w:name w:val="postfix"/>
    <w:uiPriority w:val="99"/>
    <w:qFormat/>
    <w:rsid w:val="000634BC"/>
    <w:rPr>
      <w:color w:val="auto"/>
      <w:shd w:val="clear" w:color="auto" w:fill="auto"/>
    </w:rPr>
  </w:style>
  <w:style w:type="character" w:customStyle="1" w:styleId="apple-converted-space">
    <w:name w:val="apple-converted-space"/>
    <w:basedOn w:val="a0"/>
    <w:uiPriority w:val="99"/>
    <w:rsid w:val="00063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1272</Characters>
  <Application>Microsoft Office Word</Application>
  <DocSecurity>0</DocSecurity>
  <Lines>10</Lines>
  <Paragraphs>2</Paragraphs>
  <ScaleCrop>false</ScaleCrop>
  <Company>china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2016-04-27T04:59:00Z</dcterms:created>
  <dcterms:modified xsi:type="dcterms:W3CDTF">2016-04-27T05:14:00Z</dcterms:modified>
</cp:coreProperties>
</file>